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пользования библиотекой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ДОГОВОРА НА БИБЛИОТЕЧНОЕ ОБСЛУЖИВАНИЕ №_______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487"/>
        <w:gridCol w:w="4584"/>
      </w:tblGrid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«____» ______________ 202 _г.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Муниципальное бюджетное учреждение «Научно-библиотечный центр», именуемое в дальнейшем «БИБЛИОТЕКА», в лице _______________________,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действующего на основании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одной стороны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(Ф.И.О, гражданина в возрасте старше 14 лет)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паспорт серия____________ №______________, выдан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выдачи),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именуемый в дальнейшем «ПОЛЬЗОВАТЕЛЬ» с другой стороны,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1416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(Ф.И.О, законного представителя гражданина в возрасте младше 14 лет)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паспорт серия____________ №______________, выдан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выдачи),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действующего в интересах моего ребенка младше 14 лет___________________________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(Ф.И.О. ребенка младше 14 лет)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именуемый в дальнейшем «ПОЛЬЗОВАТЕЛЬ» с другой стороны,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именуемые в дальнейшем «СТОРОНЫ»,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заключили настоящий договор о нижеследующем: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1.Предмет договора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1.1. Пользователь поручает, а Библиотека принимает на себя обязательство по обеспечению полноты и качества библиотечного обслуживания.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1.2. Предоставление библиотечного обслуживания регулируется настоящим Договором, а также Правилами пользования Библиотеки. Права и обязанности Библиотеки и Пользователя, не оговоренные в настоящем договоре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, применяются в порядке,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указанно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ми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 в Правилах пользования Библиотекой.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2. Порядок библиотечного обслуживания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2.1. Оказание услуг по библиотечному обслуживанию осуществляется после заключения договора.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2.2. При заключении договора Пользователь дает согласие на сбор, хранение, автоматизированную и неавтоматизированную обработку своих персональных дан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ных согласно Федеральному Закону от 27 июля 2006 года № 152-ФЗ «О персональных данных», с целью предоставления библиотечных, информационных, досуговых и иных услуг, без права передачи данных третьим лицам, кроме случаев, предусмотренных законодательством Р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едерации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2.3. Пользователю Библиотеки при заключении договора выдается номер единого читател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ьского билета (ЕЧБ), действующего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 во всех структурных подразделениях МБУ «Научно-библиотечный центр».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3. Права и обязанности Библиотеки и ее сотрудников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3.1. Библиотека вправе определять условия доступа к фондам, порядок передачи документов во временное пользование Пользователю, а также ограничить выдачу Пользователям-детям документов, не соответствующих их возрастной категории.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3.2. Библиотека обязана обеспечить По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льзователю возможность пользоваться всеми фондами Библиотеки, с соблюдением режима доступа к фондам, а также предоставлять информационно-библиотечные услуги, предусмотренные Правилами пользования Библиотекой, и информировать о них Пользователя Библиотеки.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 Права и обязанности Пользователя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4.1. Пользователь вправе: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4.1.1. беспрепятственно посещать Библиотеку согласно режиму ее работы;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4.1.2. бесплатно получать в Библиотеке полную информацию о составе ее фондов через систему каталогов и другие формы библиотечного информирования;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4.1.3. бесплатно получать во временное пользование документы из фондов Библиотеки на дом (при наличии регистрации по месту жительства или регистрации по месту пребывания в г. Ханты-Мансийске) или для пользования в помещении Библиотеки;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4.1.4. возвращать документы, полученные из фондов Библиотеки, в 15-дневный срок; продлевать срок пользования документом на 15 дней два раза после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основного срока пользования документом (формы продления: лично, по телефону, посредством направления сообщения на электронную почту nbc@libhm.ru с указанием фамилии, имени, отчества и ЕЧБ);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4.1.5. пользоваться другими видами услуг, в том числе за плату, перечень которых определен Библиотекой;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4.1.6. обращаться в администрацию Библиотеки в случае возникновения конфликтных ситуаций.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4.2. Пользователь обязан: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4.2.1. ознакомиться с Правилами пользования Библиотекой и соблюдать их;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4.2.2. при заключении договора предоставить Библиотеке комплекс достоверных документированных персональных данных, своевременно сообщать об их изменении;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4.2.3. ежегодно проходить перерегистрацию (лично либо посредством направления сообщения на электронную почту nbc@libhm.ru с указанием фамилии, имени, отчества и ЕЧБ);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4.2.4. в случае утраты или порчи документов Пользователь обязан заменить испорченные (утраченные) такими же документами ил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и иными, признанными Библиотекой равноценными; в случае невозможности замены или умышленной порчи документа и при невозможности его восстановления в первоначальном виде Пользователь обязан возместить ущерб Библиотеке в размере рыночной стоимости документа;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4.2.5. при повреждении имущества и оборудования Библиотеки Пользователь обязан возместить нанесенный ущерб.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4.3. При использовании электронных ресурсов Библиотеки Пользователю запрещается использовать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интернет-ресурсы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 порнографического, агрессивного содер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жания, приносящие вред здоровью, духовному и нравственному развитию, а также пользоваться информацией, на которую установлено ограничение Федеральным законом от 29.10.2010 г. № 436-ФЗ «О защите детей от информации, причиняющей вред их здоровью и развитию».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7. Ответственность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7.1. Пользователь, нар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ушивший Правила пользования Библиотекой и в результате этого причинивший Библиотеке ущерб, а также беспокойство другим пользователям, несет административную, гражданско-правовую или уголовную ответственность в соответствии с действующим законодательством Р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едерации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7.4. Работники Библиотеки, допустившие нарушение Правил пользования Библиотекой или нарушившие права Пользователей, в том числе право на защиту персональных данных, несут ответственность в соответствии с действующим законодательством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8. Срок действия и порядок расторжения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8.1. Договор вступает в силу с даты его подписания и действует до его расторжения путем предоставления письменного заявления Пользователя.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8.2. При расторжении договора Пользователь обязан произвести возврат: всех документов, полученных из фонда Библиотеки, или произвести возмещение материальных затрат.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8.3. Библиотека и Пользователь договорились, что обмен сообщениями посредством электронной почты являются юридически значимыми сообщениями (ст. ст. 160, 165.1, 434 ГК РФ).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8.4. Споры по настоящему Договору будут, по возможности, разрешаться путем ведения переговоров. При невозможности разрешения спора путем переговоров спор подлежит передаче на рассмотрение в суд в соответствии с действующим законодательством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.5. Настоящий договор составлен в двух экземплярах, имеющих одинаковую юридическую силу. Один экземпляр хранится в Библиотеке, другой экземпляр выдается Пользователю.</w:t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71e11"/>
          <w:sz w:val="24"/>
          <w:szCs w:val="24"/>
          <w:lang w:eastAsia="ru-RU"/>
        </w:rPr>
      </w:r>
    </w:p>
    <w:p>
      <w:pPr>
        <w:ind w:right="-709" w:firstLine="720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9. Адреса и подписи сторон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tbl>
      <w:tblPr>
        <w:tblStyle w:val="48"/>
        <w:tblW w:w="9624" w:type="dxa"/>
        <w:tblLook w:val="04A0" w:firstRow="1" w:lastRow="0" w:firstColumn="1" w:lastColumn="0" w:noHBand="0" w:noVBand="1"/>
      </w:tblPr>
      <w:tblGrid>
        <w:gridCol w:w="4248"/>
        <w:gridCol w:w="5376"/>
      </w:tblGrid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МБУ «Научно-библиотечный центр»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Ханты-Мансийска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628001,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Краснопартизанская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д.2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тел. (3467) 362-501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Электронный адрес: office@libhm.ru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Должность  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 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Подпись            Ф.И.О.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М..П.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37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«Пользователь»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Имя 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Отчество___________________________________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                                                             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работы/учебы_________________________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Особая категория__________________________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 по месту жительства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Либо адрес регистрации по месту пребывания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    __________                                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e-mail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                                                                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       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Подпись            Расшифровка подписи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360" w:right="-709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33337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4" cy="247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margin;mso-position-horizontal:left;mso-position-vertical-relative:text;margin-top:11.40pt;mso-position-vertical:absolute;width:26.25pt;height:19.50pt;mso-wrap-distance-left:9.00pt;mso-wrap-distance-top:0.00pt;mso-wrap-distance-right:9.00pt;mso-wrap-distance-bottom:0.00pt;visibility:visible;" fillcolor="#FFFFFF" strokecolor="#000000" strokeweight="1.00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Даю согласие на фото-и видеосъемку и размещение фото-и видеоматериалов с моим участием на официальном сайте учреждения (https://www.libhm.ru/) и в социальных сетях, без права передачи третьим лицам.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33375" cy="247650"/>
                <wp:effectExtent l="0" t="0" r="28575" b="1905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4" cy="247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1312;o:allowoverlap:true;o:allowincell:true;mso-position-horizontal-relative:margin;margin-left:0.00pt;mso-position-horizontal:absolute;mso-position-vertical-relative:text;margin-top:-0.05pt;mso-position-vertical:absolute;width:26.25pt;height:19.50pt;mso-wrap-distance-left:9.00pt;mso-wrap-distance-top:0.00pt;mso-wrap-distance-right:9.00pt;mso-wrap-distance-bottom:0.00pt;visibility:visible;" fillcolor="#FFFFFF" strokecolor="#000000" strokeweight="1.00pt"/>
            </w:pict>
          </mc:Fallback>
        </mc:AlternateConten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            Даю согласие на рассылку рекламно-информационных материалов библиотеки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           (афиш, анонсов мероприятий).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Номер единого читательского билета 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2024-07-02T08:37:57Z</dcterms:modified>
</cp:coreProperties>
</file>